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9500" w14:textId="14A6C780" w:rsidR="00236A3A" w:rsidRDefault="00236A3A" w:rsidP="001E1863">
      <w:pPr>
        <w:rPr>
          <w:b/>
          <w:bCs/>
        </w:rPr>
      </w:pPr>
      <w:r>
        <w:rPr>
          <w:rStyle w:val="Strong"/>
          <w:rFonts w:ascii="FFInfraMedium" w:hAnsi="FFInfraMedium"/>
          <w:color w:val="757575"/>
          <w:sz w:val="21"/>
          <w:szCs w:val="21"/>
          <w:shd w:val="clear" w:color="auto" w:fill="FFFFFF"/>
        </w:rPr>
        <w:t xml:space="preserve">ASME </w:t>
      </w:r>
      <w:r w:rsidR="00A70BAF">
        <w:rPr>
          <w:rStyle w:val="Strong"/>
          <w:rFonts w:ascii="FFInfraMedium" w:hAnsi="FFInfraMedium"/>
          <w:color w:val="757575"/>
          <w:sz w:val="21"/>
          <w:szCs w:val="21"/>
          <w:shd w:val="clear" w:color="auto" w:fill="FFFFFF"/>
        </w:rPr>
        <w:t xml:space="preserve">Submission </w:t>
      </w:r>
      <w:r>
        <w:rPr>
          <w:rStyle w:val="Strong"/>
          <w:rFonts w:ascii="FFInfraMedium" w:hAnsi="FFInfraMedium"/>
          <w:color w:val="757575"/>
          <w:sz w:val="21"/>
          <w:szCs w:val="21"/>
          <w:shd w:val="clear" w:color="auto" w:fill="FFFFFF"/>
        </w:rPr>
        <w:t>ASM2021-095</w:t>
      </w:r>
    </w:p>
    <w:p w14:paraId="3DD356B5" w14:textId="6C1646CB" w:rsidR="001E1863" w:rsidRDefault="002374F8" w:rsidP="001E1863">
      <w:r>
        <w:rPr>
          <w:b/>
          <w:bCs/>
        </w:rPr>
        <w:t>Introduction</w:t>
      </w:r>
      <w:r w:rsidR="001E1863" w:rsidRPr="001E1863">
        <w:rPr>
          <w:b/>
          <w:bCs/>
        </w:rPr>
        <w:t>:</w:t>
      </w:r>
      <w:r w:rsidR="001E1863">
        <w:t xml:space="preserve"> </w:t>
      </w:r>
      <w:r w:rsidR="003B708C">
        <w:t xml:space="preserve">The educational philosophy in our </w:t>
      </w:r>
      <w:r w:rsidR="001E1863">
        <w:t xml:space="preserve">small rural clinical school </w:t>
      </w:r>
      <w:r w:rsidR="00BE6DAE">
        <w:t xml:space="preserve">is </w:t>
      </w:r>
      <w:r w:rsidR="003B708C">
        <w:t xml:space="preserve">student-centred and </w:t>
      </w:r>
      <w:r w:rsidR="004C76C1">
        <w:t xml:space="preserve">is </w:t>
      </w:r>
      <w:r w:rsidR="00901246">
        <w:t>characterised</w:t>
      </w:r>
      <w:r w:rsidR="00BE6DAE">
        <w:t xml:space="preserve"> by </w:t>
      </w:r>
      <w:r w:rsidR="001E1863">
        <w:t>strong personal connection</w:t>
      </w:r>
      <w:r w:rsidR="003B6F5A">
        <w:t>s</w:t>
      </w:r>
      <w:r w:rsidR="001E1863">
        <w:t xml:space="preserve"> which enhance the learning environment</w:t>
      </w:r>
      <w:r w:rsidR="00BE6DAE">
        <w:t xml:space="preserve"> and support student success</w:t>
      </w:r>
      <w:r w:rsidR="00A70BAF" w:rsidRPr="00160D9E">
        <w:rPr>
          <w:vertAlign w:val="superscript"/>
        </w:rPr>
        <w:fldChar w:fldCharType="begin"/>
      </w:r>
      <w:r w:rsidR="00A70BAF" w:rsidRPr="00160D9E">
        <w:rPr>
          <w:vertAlign w:val="superscript"/>
        </w:rPr>
        <w:instrText xml:space="preserve"> ADDIN EN.CITE &lt;EndNote&gt;&lt;Cite&gt;&lt;Author&gt;Cranney&lt;/Author&gt;&lt;Year&gt;2020&lt;/Year&gt;&lt;RecNum&gt;24&lt;/RecNum&gt;&lt;DisplayText&gt;(1)&lt;/DisplayText&gt;&lt;record&gt;&lt;rec-number&gt;24&lt;/rec-number&gt;&lt;foreign-keys&gt;&lt;key app="EN" db-id="tdft9a02aa20v5e25dcve2aowd2xea5es9fs" timestamp="1616636049"&gt;24&lt;/key&gt;&lt;/foreign-keys&gt;&lt;ref-type name="Book Section"&gt;5&lt;/ref-type&gt;&lt;contributors&gt;&lt;authors&gt;&lt;author&gt;Cranney, Jacquelyn&lt;/author&gt;&lt;author&gt;Morris, Sue&lt;/author&gt;&lt;author&gt;Krebs-Lazendic, Lidija&lt;/author&gt;&lt;author&gt;Hutton-Bedbrook, Kate&lt;/author&gt;&lt;/authors&gt;&lt;secondary-authors&gt;&lt;author&gt;McKenzie, Stephen&lt;/author&gt;&lt;author&gt;Garivaldis, Filia&lt;/author&gt;&lt;author&gt;Dyer, Kyle R.&lt;/author&gt;&lt;/secondary-authors&gt;&lt;/contributors&gt;&lt;titles&gt;&lt;title&gt;Back to the Education Future—Evidence-based Student-Centred Approaches to Online Curriculum Design and Delivery&lt;/title&gt;&lt;secondary-title&gt;Tertiary Online Teaching and Learning: TOTAL Perspectives and Resources for Digital Education&lt;/secondary-title&gt;&lt;/titles&gt;&lt;pages&gt;119-128&lt;/pages&gt;&lt;dates&gt;&lt;year&gt;2020&lt;/year&gt;&lt;/dates&gt;&lt;pub-location&gt;Singapore&lt;/pub-location&gt;&lt;publisher&gt;Springer Singapore&lt;/publisher&gt;&lt;isbn&gt;978-981-15-8928-7&lt;/isbn&gt;&lt;label&gt;Cranney2020&lt;/label&gt;&lt;urls&gt;&lt;related-urls&gt;&lt;url&gt;https://doi.org/10.1007/978-981-15-8928-7_10&lt;/url&gt;&lt;/related-urls&gt;&lt;/urls&gt;&lt;electronic-resource-num&gt;10.1007/978-981-15-8928-7_10&lt;/electronic-resource-num&gt;&lt;/record&gt;&lt;/Cite&gt;&lt;/EndNote&gt;</w:instrText>
      </w:r>
      <w:r w:rsidR="00A70BAF" w:rsidRPr="00160D9E">
        <w:rPr>
          <w:vertAlign w:val="superscript"/>
        </w:rPr>
        <w:fldChar w:fldCharType="separate"/>
      </w:r>
      <w:r w:rsidR="00A70BAF" w:rsidRPr="00160D9E">
        <w:rPr>
          <w:noProof/>
          <w:vertAlign w:val="superscript"/>
        </w:rPr>
        <w:t>(1)</w:t>
      </w:r>
      <w:r w:rsidR="00A70BAF" w:rsidRPr="00160D9E">
        <w:rPr>
          <w:vertAlign w:val="superscript"/>
        </w:rPr>
        <w:fldChar w:fldCharType="end"/>
      </w:r>
      <w:r w:rsidR="001E1863">
        <w:t xml:space="preserve">. </w:t>
      </w:r>
      <w:r w:rsidR="00160D9E" w:rsidRPr="00160D9E">
        <w:t>In normal circumstances,</w:t>
      </w:r>
      <w:r w:rsidR="00160D9E">
        <w:t xml:space="preserve"> we</w:t>
      </w:r>
      <w:r w:rsidR="00160D9E" w:rsidRPr="00160D9E">
        <w:t xml:space="preserve"> can easily create learning environments in which we design and deliver curricula that support the three basic psychological needs (relatedness, competence and autonomy) posited by</w:t>
      </w:r>
      <w:r w:rsidR="00160D9E" w:rsidRPr="00347951">
        <w:t xml:space="preserve"> Self Determination Theory (SDT) </w:t>
      </w:r>
      <w:r w:rsidR="00160D9E" w:rsidRPr="00160D9E">
        <w:rPr>
          <w:vertAlign w:val="superscript"/>
        </w:rPr>
        <w:fldChar w:fldCharType="begin"/>
      </w:r>
      <w:r w:rsidR="00160D9E">
        <w:rPr>
          <w:vertAlign w:val="superscript"/>
        </w:rPr>
        <w:instrText xml:space="preserve"> ADDIN EN.CITE &lt;EndNote&gt;&lt;Cite&gt;&lt;Author&gt;Ryan&lt;/Author&gt;&lt;Year&gt;2000&lt;/Year&gt;&lt;RecNum&gt;21&lt;/RecNum&gt;&lt;DisplayText&gt;(2)&lt;/DisplayText&gt;&lt;record&gt;&lt;rec-number&gt;21&lt;/rec-number&gt;&lt;foreign-keys&gt;&lt;key app="EN" db-id="tdft9a02aa20v5e25dcve2aowd2xea5es9fs" timestamp="1614557498"&gt;21&lt;/key&gt;&lt;/foreign-keys&gt;&lt;ref-type name="Journal Article"&gt;17&lt;/ref-type&gt;&lt;contributors&gt;&lt;authors&gt;&lt;author&gt;Ryan, Richard M.&lt;/author&gt;&lt;author&gt;Deci, Edward L.&lt;/author&gt;&lt;/authors&gt;&lt;/contributors&gt;&lt;titles&gt;&lt;title&gt;Self-determination theory and the facilitation of intrinsic motivation, social development, and well-being&lt;/title&gt;&lt;secondary-title&gt;American Psychologist&lt;/secondary-title&gt;&lt;/titles&gt;&lt;periodical&gt;&lt;full-title&gt;American Psychologist&lt;/full-title&gt;&lt;/periodical&gt;&lt;pages&gt;68-78&lt;/pages&gt;&lt;volume&gt;55&lt;/volume&gt;&lt;number&gt;1&lt;/number&gt;&lt;keywords&gt;&lt;keyword&gt;*Intrinsic Motivation&lt;/keyword&gt;&lt;keyword&gt;*Life Satisfaction&lt;/keyword&gt;&lt;keyword&gt;*Self-Determination&lt;/keyword&gt;&lt;keyword&gt;*Well Being&lt;/keyword&gt;&lt;keyword&gt;Quality of Life&lt;/keyword&gt;&lt;/keywords&gt;&lt;dates&gt;&lt;year&gt;2000&lt;/year&gt;&lt;/dates&gt;&lt;pub-location&gt;US&lt;/pub-location&gt;&lt;publisher&gt;American Psychological Association&lt;/publisher&gt;&lt;isbn&gt;1935-990X(Electronic),0003-066X(Print)&lt;/isbn&gt;&lt;urls&gt;&lt;/urls&gt;&lt;electronic-resource-num&gt;10.1037/0003-066X.55.1.68&lt;/electronic-resource-num&gt;&lt;/record&gt;&lt;/Cite&gt;&lt;/EndNote&gt;</w:instrText>
      </w:r>
      <w:r w:rsidR="00160D9E" w:rsidRPr="00160D9E">
        <w:rPr>
          <w:vertAlign w:val="superscript"/>
        </w:rPr>
        <w:fldChar w:fldCharType="separate"/>
      </w:r>
      <w:r w:rsidR="00160D9E">
        <w:rPr>
          <w:noProof/>
          <w:vertAlign w:val="superscript"/>
        </w:rPr>
        <w:t>(2)</w:t>
      </w:r>
      <w:r w:rsidR="00160D9E" w:rsidRPr="00160D9E">
        <w:rPr>
          <w:vertAlign w:val="superscript"/>
        </w:rPr>
        <w:fldChar w:fldCharType="end"/>
      </w:r>
      <w:r w:rsidR="00160D9E" w:rsidRPr="00160D9E">
        <w:t>.</w:t>
      </w:r>
      <w:r w:rsidR="00160D9E" w:rsidRPr="00160D9E">
        <w:rPr>
          <w:rFonts w:ascii="Arial" w:hAnsi="Arial" w:cs="Arial"/>
          <w:sz w:val="20"/>
          <w:szCs w:val="20"/>
        </w:rPr>
        <w:t xml:space="preserve"> </w:t>
      </w:r>
      <w:r w:rsidR="00026A43" w:rsidRPr="00347951">
        <w:t xml:space="preserve">The </w:t>
      </w:r>
      <w:r w:rsidR="00FF3AAA" w:rsidRPr="00347951">
        <w:t xml:space="preserve">sudden transition to online teaching and assessment in the </w:t>
      </w:r>
      <w:r w:rsidR="001E1863">
        <w:t>COVID19 lockdown threatened this</w:t>
      </w:r>
      <w:r w:rsidR="00BE6DAE">
        <w:t>, and</w:t>
      </w:r>
      <w:r w:rsidR="00901246">
        <w:t xml:space="preserve"> </w:t>
      </w:r>
      <w:r w:rsidR="001E1863">
        <w:t>students reported feeling overwhelmed</w:t>
      </w:r>
      <w:r w:rsidR="00FF3AAA">
        <w:t xml:space="preserve">. We </w:t>
      </w:r>
      <w:r w:rsidR="00816026">
        <w:t xml:space="preserve">aimed to continue to support our students through curricular or co-curricular activities in our teaching. </w:t>
      </w:r>
    </w:p>
    <w:p w14:paraId="783B2349" w14:textId="596D5378" w:rsidR="001E1863" w:rsidRDefault="001E1863" w:rsidP="001E1863">
      <w:r w:rsidRPr="0F49D2B7">
        <w:rPr>
          <w:b/>
          <w:bCs/>
        </w:rPr>
        <w:t>Method</w:t>
      </w:r>
      <w:r w:rsidR="0082247F" w:rsidRPr="0F49D2B7">
        <w:rPr>
          <w:b/>
          <w:bCs/>
        </w:rPr>
        <w:t>ology</w:t>
      </w:r>
      <w:r w:rsidRPr="0F49D2B7">
        <w:rPr>
          <w:b/>
          <w:bCs/>
        </w:rPr>
        <w:t xml:space="preserve">: </w:t>
      </w:r>
      <w:r w:rsidR="00891CA7">
        <w:t>Congruent with our teaching philosophy, we adopted</w:t>
      </w:r>
      <w:r w:rsidR="00891CA7" w:rsidRPr="0F49D2B7">
        <w:rPr>
          <w:b/>
          <w:bCs/>
        </w:rPr>
        <w:t xml:space="preserve"> </w:t>
      </w:r>
      <w:r w:rsidR="00413133">
        <w:t>the framework of</w:t>
      </w:r>
      <w:r w:rsidR="00901246">
        <w:t xml:space="preserve"> </w:t>
      </w:r>
      <w:r w:rsidR="004C76C1">
        <w:t>SDT</w:t>
      </w:r>
      <w:r w:rsidR="00347951">
        <w:t xml:space="preserve"> for this intervention</w:t>
      </w:r>
      <w:r w:rsidR="00092038">
        <w:t>. W</w:t>
      </w:r>
      <w:r w:rsidR="00BE6DAE">
        <w:t>e</w:t>
      </w:r>
      <w:r>
        <w:t xml:space="preserve"> </w:t>
      </w:r>
      <w:r w:rsidR="00092038">
        <w:t xml:space="preserve">constructed four </w:t>
      </w:r>
      <w:r w:rsidR="00A8041B">
        <w:t>strateg</w:t>
      </w:r>
      <w:r w:rsidR="00092038">
        <w:t>ies that we theorised would</w:t>
      </w:r>
      <w:r>
        <w:t xml:space="preserve"> enhance Student Wellbeing</w:t>
      </w:r>
      <w:r w:rsidR="1B8F9BFD">
        <w:t xml:space="preserve"> and applied these </w:t>
      </w:r>
      <w:r w:rsidR="0839E9EB">
        <w:t xml:space="preserve">in a course </w:t>
      </w:r>
      <w:r w:rsidR="3BA15A6E">
        <w:t>with</w:t>
      </w:r>
      <w:r w:rsidR="3AE18569">
        <w:t xml:space="preserve"> n=50</w:t>
      </w:r>
      <w:r w:rsidR="158016F9">
        <w:t xml:space="preserve"> students</w:t>
      </w:r>
      <w:r w:rsidR="3AE18569">
        <w:t xml:space="preserve">. </w:t>
      </w:r>
      <w:r w:rsidR="1857FB3B">
        <w:t>S</w:t>
      </w:r>
      <w:r w:rsidR="245147C8">
        <w:t xml:space="preserve">tudents </w:t>
      </w:r>
      <w:r w:rsidR="57F28828">
        <w:t xml:space="preserve">voluntarily </w:t>
      </w:r>
      <w:r w:rsidR="293DD6CE">
        <w:t>complete</w:t>
      </w:r>
      <w:r w:rsidR="37E07394">
        <w:t>d</w:t>
      </w:r>
      <w:r w:rsidR="293DD6CE">
        <w:t xml:space="preserve"> an anonymous evaluation survey</w:t>
      </w:r>
      <w:r w:rsidR="255F3188">
        <w:t xml:space="preserve"> </w:t>
      </w:r>
      <w:r w:rsidR="00EF7D92">
        <w:t>to r</w:t>
      </w:r>
      <w:r w:rsidR="00AE2900">
        <w:t xml:space="preserve">ate the extent to which they agreed with </w:t>
      </w:r>
      <w:r w:rsidR="30CE6691">
        <w:t>ten</w:t>
      </w:r>
      <w:r w:rsidR="00E1655A">
        <w:t xml:space="preserve"> statements</w:t>
      </w:r>
      <w:r w:rsidR="6725F036">
        <w:t xml:space="preserve"> -</w:t>
      </w:r>
      <w:r w:rsidR="3CB88F86">
        <w:t xml:space="preserve"> four</w:t>
      </w:r>
      <w:r w:rsidR="00E1655A">
        <w:t xml:space="preserve"> relating to the </w:t>
      </w:r>
      <w:r w:rsidR="6BD2012D">
        <w:t xml:space="preserve">specific </w:t>
      </w:r>
      <w:r w:rsidR="00E1655A">
        <w:t>strateg</w:t>
      </w:r>
      <w:r w:rsidR="6F24B910">
        <w:t>ies</w:t>
      </w:r>
      <w:r w:rsidR="00E1655A">
        <w:t xml:space="preserve"> </w:t>
      </w:r>
      <w:r w:rsidR="5F9F50C6">
        <w:t>used</w:t>
      </w:r>
      <w:r w:rsidR="0705C390">
        <w:t>,</w:t>
      </w:r>
      <w:r w:rsidR="5F9F50C6">
        <w:t xml:space="preserve"> </w:t>
      </w:r>
      <w:r w:rsidR="00E1655A">
        <w:t xml:space="preserve">and </w:t>
      </w:r>
      <w:r w:rsidR="2AAB0C68">
        <w:t xml:space="preserve">the remaining </w:t>
      </w:r>
      <w:r w:rsidR="62336DFC">
        <w:t>a</w:t>
      </w:r>
      <w:r w:rsidR="3BD2BE67">
        <w:t>ssess</w:t>
      </w:r>
      <w:r w:rsidR="59EDE0E3">
        <w:t>ing</w:t>
      </w:r>
      <w:r w:rsidR="3BD2BE67">
        <w:t xml:space="preserve"> </w:t>
      </w:r>
      <w:r w:rsidR="00FE2B20">
        <w:t>their general sense of wellbeing and support</w:t>
      </w:r>
      <w:r w:rsidR="00BE6DAE">
        <w:t>.</w:t>
      </w:r>
      <w:r>
        <w:t xml:space="preserve"> </w:t>
      </w:r>
      <w:r w:rsidR="007D3B7A">
        <w:t>The</w:t>
      </w:r>
      <w:r w:rsidR="00CB49BD">
        <w:t xml:space="preserve"> strategy evaluation questions had a 9-point</w:t>
      </w:r>
      <w:r w:rsidR="007D3B7A">
        <w:t xml:space="preserve"> rating scale </w:t>
      </w:r>
      <w:r w:rsidR="00CB49BD">
        <w:t>from completely disagree to completely agree</w:t>
      </w:r>
      <w:r w:rsidR="08A193F1">
        <w:t>.</w:t>
      </w:r>
      <w:r w:rsidR="4317FC5F">
        <w:t xml:space="preserve"> </w:t>
      </w:r>
      <w:r w:rsidR="3F5FCDE1">
        <w:t>M</w:t>
      </w:r>
      <w:r w:rsidR="00704B04">
        <w:t>ean agreement rating</w:t>
      </w:r>
      <w:r w:rsidR="008586F9">
        <w:t>s</w:t>
      </w:r>
      <w:r w:rsidR="264731D6">
        <w:t xml:space="preserve"> (as well as percentage agreement</w:t>
      </w:r>
      <w:r w:rsidR="0CA25804">
        <w:t>s</w:t>
      </w:r>
      <w:r w:rsidR="264731D6">
        <w:t>)</w:t>
      </w:r>
      <w:r w:rsidR="00704B04">
        <w:t xml:space="preserve"> </w:t>
      </w:r>
      <w:r w:rsidR="343D9FD3">
        <w:t>were</w:t>
      </w:r>
      <w:r w:rsidR="00704B04">
        <w:t xml:space="preserve"> calculated</w:t>
      </w:r>
      <w:r w:rsidR="62EABCA7">
        <w:t xml:space="preserve"> for each</w:t>
      </w:r>
      <w:r w:rsidR="3CFE282D">
        <w:t xml:space="preserve"> survey</w:t>
      </w:r>
      <w:r w:rsidR="62EABCA7">
        <w:t xml:space="preserve"> statement</w:t>
      </w:r>
      <w:r w:rsidR="00704B04">
        <w:t xml:space="preserve">. </w:t>
      </w:r>
    </w:p>
    <w:p w14:paraId="7E7ECE8C" w14:textId="4EB7DA41" w:rsidR="001E1863" w:rsidRDefault="008D0F2A" w:rsidP="001E1863">
      <w:r w:rsidRPr="0F49D2B7">
        <w:rPr>
          <w:b/>
          <w:bCs/>
        </w:rPr>
        <w:t>Findings</w:t>
      </w:r>
      <w:r w:rsidR="001E1863" w:rsidRPr="0F49D2B7">
        <w:rPr>
          <w:b/>
          <w:bCs/>
        </w:rPr>
        <w:t xml:space="preserve">: </w:t>
      </w:r>
      <w:r w:rsidR="39FB305E">
        <w:t xml:space="preserve">While </w:t>
      </w:r>
      <w:r w:rsidR="001E1863">
        <w:t xml:space="preserve">50% </w:t>
      </w:r>
      <w:r w:rsidR="6776F3A5">
        <w:t>of the class</w:t>
      </w:r>
      <w:r w:rsidR="7057D0AD">
        <w:t xml:space="preserve"> </w:t>
      </w:r>
      <w:r w:rsidR="001E1863">
        <w:t>completed the survey</w:t>
      </w:r>
      <w:r w:rsidR="4C235059">
        <w:t xml:space="preserve">, </w:t>
      </w:r>
      <w:r w:rsidR="67FB25C7">
        <w:t>four</w:t>
      </w:r>
      <w:r w:rsidR="4C235059">
        <w:t xml:space="preserve"> responses were discarded as they did</w:t>
      </w:r>
      <w:r w:rsidR="007D3B7A">
        <w:t xml:space="preserve"> </w:t>
      </w:r>
      <w:r w:rsidR="05EB4962">
        <w:t xml:space="preserve">not </w:t>
      </w:r>
      <w:r w:rsidR="38EDC169">
        <w:t xml:space="preserve">complete </w:t>
      </w:r>
      <w:r w:rsidR="064D6BAA">
        <w:t>all sections of the survey</w:t>
      </w:r>
      <w:r w:rsidR="3EC9A7D8">
        <w:t>, leaving n=21 respondents</w:t>
      </w:r>
      <w:r w:rsidR="064D6BAA">
        <w:t>.</w:t>
      </w:r>
      <w:r w:rsidR="007D3B7A">
        <w:t xml:space="preserve"> </w:t>
      </w:r>
      <w:r w:rsidR="2FF9D001">
        <w:t>A</w:t>
      </w:r>
      <w:r w:rsidR="007D3B7A">
        <w:t>ll strategies received an average agreement rating within the ‘agree’ domain, and over 60% agreement</w:t>
      </w:r>
      <w:r w:rsidR="741F5B45">
        <w:t>.</w:t>
      </w:r>
      <w:r w:rsidR="003B6F5A">
        <w:t xml:space="preserve"> </w:t>
      </w:r>
      <w:r w:rsidR="146D7BB3">
        <w:t xml:space="preserve">The highest-rating strategy (with 100% agreement and a moderately low variance) was “creating an environment where students feel supported and comfortable with approaching staff to seek individualised assistance”. </w:t>
      </w:r>
    </w:p>
    <w:p w14:paraId="5A8DD853" w14:textId="5BE5700A" w:rsidR="00F057E4" w:rsidRPr="00F057E4" w:rsidRDefault="00F057E4" w:rsidP="0F49D2B7">
      <w:r w:rsidRPr="0F49D2B7">
        <w:rPr>
          <w:b/>
          <w:bCs/>
        </w:rPr>
        <w:t>Conclusion</w:t>
      </w:r>
      <w:r w:rsidR="4FE6323F" w:rsidRPr="0F49D2B7">
        <w:rPr>
          <w:b/>
          <w:bCs/>
        </w:rPr>
        <w:t xml:space="preserve">: </w:t>
      </w:r>
      <w:r w:rsidR="2C72D770">
        <w:t>The high</w:t>
      </w:r>
      <w:r w:rsidR="65B25A23">
        <w:t>est-rating strategy</w:t>
      </w:r>
      <w:r w:rsidR="2C72D770">
        <w:t xml:space="preserve"> likely led to the satisfaction of two psychological needs</w:t>
      </w:r>
      <w:r w:rsidR="7DB2204E">
        <w:t xml:space="preserve"> – competence and relatedness -</w:t>
      </w:r>
      <w:r w:rsidR="2C72D770">
        <w:t xml:space="preserve"> compared to one psychological need for </w:t>
      </w:r>
      <w:r w:rsidR="41F15234">
        <w:t xml:space="preserve">the </w:t>
      </w:r>
      <w:r w:rsidR="2C72D770">
        <w:t>other strategies, thus leading to a slightly higher rating</w:t>
      </w:r>
      <w:r w:rsidR="7DD32E19">
        <w:t xml:space="preserve">. Future surveys should perhaps identify </w:t>
      </w:r>
      <w:r w:rsidR="2C72D770">
        <w:t xml:space="preserve">the specific behaviours and resources that make up </w:t>
      </w:r>
      <w:r w:rsidR="66215EE8">
        <w:t>“</w:t>
      </w:r>
      <w:r w:rsidR="2C72D770">
        <w:t>creating an environment…”.</w:t>
      </w:r>
      <w:r w:rsidR="25648C4A">
        <w:t xml:space="preserve"> Since all strategies received over 60% agreement, continued use </w:t>
      </w:r>
      <w:r w:rsidR="0883EE07">
        <w:t xml:space="preserve">is suggested </w:t>
      </w:r>
      <w:r w:rsidR="25648C4A">
        <w:t>in the future.</w:t>
      </w:r>
    </w:p>
    <w:p w14:paraId="0DDD03D0" w14:textId="7FB358FC" w:rsidR="007F542A" w:rsidRPr="00F057E4" w:rsidRDefault="008D0F2A" w:rsidP="00547E92">
      <w:pPr>
        <w:rPr>
          <w:b/>
          <w:bCs/>
        </w:rPr>
      </w:pPr>
      <w:r w:rsidRPr="00F057E4">
        <w:rPr>
          <w:b/>
          <w:bCs/>
        </w:rPr>
        <w:t>References</w:t>
      </w:r>
    </w:p>
    <w:p w14:paraId="061F2E66" w14:textId="77777777" w:rsidR="00160D9E" w:rsidRPr="00160D9E" w:rsidRDefault="007F542A" w:rsidP="00160D9E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60D9E" w:rsidRPr="00160D9E">
        <w:t>1.</w:t>
      </w:r>
      <w:r w:rsidR="00160D9E" w:rsidRPr="00160D9E">
        <w:tab/>
        <w:t>Cranney J, Morris S, Krebs-Lazendic L, Hutton-Bedbrook K. Back to the Education Future—Evidence-based Student-Centred Approaches to Online Curriculum Design and Delivery. In: McKenzie S, Garivaldis F, Dyer KR, editors. Tertiary Online Teaching and Learning: TOTAL Perspectives and Resources for Digital Education. Singapore: Springer Singapore; 2020. p. 119-28.</w:t>
      </w:r>
    </w:p>
    <w:p w14:paraId="41D1AF92" w14:textId="77777777" w:rsidR="00160D9E" w:rsidRPr="00160D9E" w:rsidRDefault="00160D9E" w:rsidP="00160D9E">
      <w:pPr>
        <w:pStyle w:val="EndNoteBibliography"/>
      </w:pPr>
      <w:r w:rsidRPr="00160D9E">
        <w:t>2.</w:t>
      </w:r>
      <w:r w:rsidRPr="00160D9E">
        <w:tab/>
        <w:t>Ryan RM, Deci EL. Self-determination theory and the facilitation of intrinsic motivation, social development, and well-being. American Psychologist. 2000;55(1):68-78.</w:t>
      </w:r>
    </w:p>
    <w:p w14:paraId="265866FC" w14:textId="4C135BD4" w:rsidR="001E1863" w:rsidRDefault="007F542A" w:rsidP="00547E92">
      <w:r>
        <w:fldChar w:fldCharType="end"/>
      </w:r>
    </w:p>
    <w:sectPr w:rsidR="001E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Infra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ft9a02aa20v5e25dcve2aowd2xea5es9fs&quot;&gt;SFHEA-Converted&lt;record-ids&gt;&lt;item&gt;21&lt;/item&gt;&lt;item&gt;24&lt;/item&gt;&lt;/record-ids&gt;&lt;/item&gt;&lt;/Libraries&gt;"/>
  </w:docVars>
  <w:rsids>
    <w:rsidRoot w:val="00547E92"/>
    <w:rsid w:val="00026A43"/>
    <w:rsid w:val="00092038"/>
    <w:rsid w:val="00095380"/>
    <w:rsid w:val="000E5C7C"/>
    <w:rsid w:val="00160D9E"/>
    <w:rsid w:val="001C16B9"/>
    <w:rsid w:val="001E1863"/>
    <w:rsid w:val="001E6CA3"/>
    <w:rsid w:val="00236A3A"/>
    <w:rsid w:val="002374F8"/>
    <w:rsid w:val="0029508B"/>
    <w:rsid w:val="002ED806"/>
    <w:rsid w:val="00347951"/>
    <w:rsid w:val="003B6F5A"/>
    <w:rsid w:val="003B708C"/>
    <w:rsid w:val="00413133"/>
    <w:rsid w:val="00482BF6"/>
    <w:rsid w:val="004C46DD"/>
    <w:rsid w:val="004C76C1"/>
    <w:rsid w:val="004F194C"/>
    <w:rsid w:val="00547E92"/>
    <w:rsid w:val="00704B04"/>
    <w:rsid w:val="00741424"/>
    <w:rsid w:val="007D3B7A"/>
    <w:rsid w:val="007E1070"/>
    <w:rsid w:val="007F542A"/>
    <w:rsid w:val="00816026"/>
    <w:rsid w:val="0082247F"/>
    <w:rsid w:val="008586F9"/>
    <w:rsid w:val="00891CA7"/>
    <w:rsid w:val="008D0F2A"/>
    <w:rsid w:val="00901246"/>
    <w:rsid w:val="00A70BAF"/>
    <w:rsid w:val="00A8041B"/>
    <w:rsid w:val="00AB2811"/>
    <w:rsid w:val="00AE2900"/>
    <w:rsid w:val="00AE6CAF"/>
    <w:rsid w:val="00B04FC1"/>
    <w:rsid w:val="00BC1860"/>
    <w:rsid w:val="00BC479D"/>
    <w:rsid w:val="00BE6DAE"/>
    <w:rsid w:val="00C791C8"/>
    <w:rsid w:val="00CB49BD"/>
    <w:rsid w:val="00D43563"/>
    <w:rsid w:val="00D81610"/>
    <w:rsid w:val="00E1655A"/>
    <w:rsid w:val="00E23BCA"/>
    <w:rsid w:val="00EF7D92"/>
    <w:rsid w:val="00F00BC3"/>
    <w:rsid w:val="00F057E4"/>
    <w:rsid w:val="00FE2B20"/>
    <w:rsid w:val="00FF3AAA"/>
    <w:rsid w:val="02026B26"/>
    <w:rsid w:val="03FF328A"/>
    <w:rsid w:val="05EB4962"/>
    <w:rsid w:val="05EE9119"/>
    <w:rsid w:val="064D6BAA"/>
    <w:rsid w:val="0705C390"/>
    <w:rsid w:val="0839E9EB"/>
    <w:rsid w:val="0883EE07"/>
    <w:rsid w:val="08A193F1"/>
    <w:rsid w:val="0BD934B3"/>
    <w:rsid w:val="0C6ECDC2"/>
    <w:rsid w:val="0CA25804"/>
    <w:rsid w:val="0F49D2B7"/>
    <w:rsid w:val="1107551D"/>
    <w:rsid w:val="114829C6"/>
    <w:rsid w:val="13090B9D"/>
    <w:rsid w:val="146D7BB3"/>
    <w:rsid w:val="158016F9"/>
    <w:rsid w:val="168BC14B"/>
    <w:rsid w:val="171277E6"/>
    <w:rsid w:val="1813ABCC"/>
    <w:rsid w:val="182791AC"/>
    <w:rsid w:val="1857FB3B"/>
    <w:rsid w:val="194DA2F7"/>
    <w:rsid w:val="19CC5CC5"/>
    <w:rsid w:val="1B8F9BFD"/>
    <w:rsid w:val="1C8B9F0F"/>
    <w:rsid w:val="1F4B85D9"/>
    <w:rsid w:val="1FC22D87"/>
    <w:rsid w:val="209CFD9B"/>
    <w:rsid w:val="20C8C6D2"/>
    <w:rsid w:val="245147C8"/>
    <w:rsid w:val="255F3188"/>
    <w:rsid w:val="25648C4A"/>
    <w:rsid w:val="26421D02"/>
    <w:rsid w:val="264731D6"/>
    <w:rsid w:val="28D5C90B"/>
    <w:rsid w:val="293DD6CE"/>
    <w:rsid w:val="29E1735D"/>
    <w:rsid w:val="2AAB0C68"/>
    <w:rsid w:val="2AFC001B"/>
    <w:rsid w:val="2B4AFA7A"/>
    <w:rsid w:val="2C598E91"/>
    <w:rsid w:val="2C72D770"/>
    <w:rsid w:val="2FF9D001"/>
    <w:rsid w:val="30CE6691"/>
    <w:rsid w:val="343D9FD3"/>
    <w:rsid w:val="37E07394"/>
    <w:rsid w:val="38EDC169"/>
    <w:rsid w:val="3946077E"/>
    <w:rsid w:val="39FB305E"/>
    <w:rsid w:val="3A0ED859"/>
    <w:rsid w:val="3AE18569"/>
    <w:rsid w:val="3B6257CC"/>
    <w:rsid w:val="3BA15A6E"/>
    <w:rsid w:val="3BD2BE67"/>
    <w:rsid w:val="3CB88F86"/>
    <w:rsid w:val="3CFE282D"/>
    <w:rsid w:val="3DAB9125"/>
    <w:rsid w:val="3EC9A7D8"/>
    <w:rsid w:val="3F5FCDE1"/>
    <w:rsid w:val="4035C8EF"/>
    <w:rsid w:val="41A7FFCF"/>
    <w:rsid w:val="41DA30E1"/>
    <w:rsid w:val="41F15234"/>
    <w:rsid w:val="4317FC5F"/>
    <w:rsid w:val="451E49BA"/>
    <w:rsid w:val="45835877"/>
    <w:rsid w:val="494C8526"/>
    <w:rsid w:val="4A28CFF9"/>
    <w:rsid w:val="4C235059"/>
    <w:rsid w:val="4FE6323F"/>
    <w:rsid w:val="5192BA44"/>
    <w:rsid w:val="530ACCC9"/>
    <w:rsid w:val="57F28828"/>
    <w:rsid w:val="58A1E3CF"/>
    <w:rsid w:val="59EDE0E3"/>
    <w:rsid w:val="5D7E820B"/>
    <w:rsid w:val="5F2A95A0"/>
    <w:rsid w:val="5F9F50C6"/>
    <w:rsid w:val="600E2043"/>
    <w:rsid w:val="606011BF"/>
    <w:rsid w:val="6065E554"/>
    <w:rsid w:val="6095E4E7"/>
    <w:rsid w:val="62336DFC"/>
    <w:rsid w:val="62EABCA7"/>
    <w:rsid w:val="63C589C6"/>
    <w:rsid w:val="65B25A23"/>
    <w:rsid w:val="66215EE8"/>
    <w:rsid w:val="66687B98"/>
    <w:rsid w:val="6725F036"/>
    <w:rsid w:val="6776F3A5"/>
    <w:rsid w:val="67E2BBFF"/>
    <w:rsid w:val="67FB25C7"/>
    <w:rsid w:val="69404EE9"/>
    <w:rsid w:val="6BA7F48A"/>
    <w:rsid w:val="6BD2012D"/>
    <w:rsid w:val="6BDFAD17"/>
    <w:rsid w:val="6F24B910"/>
    <w:rsid w:val="7057D0AD"/>
    <w:rsid w:val="716211C8"/>
    <w:rsid w:val="740B31D4"/>
    <w:rsid w:val="741F5B45"/>
    <w:rsid w:val="74DE81EF"/>
    <w:rsid w:val="757A19E3"/>
    <w:rsid w:val="7826B6EE"/>
    <w:rsid w:val="79DB252C"/>
    <w:rsid w:val="7A924D09"/>
    <w:rsid w:val="7B5998F1"/>
    <w:rsid w:val="7DB2204E"/>
    <w:rsid w:val="7DD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1DDA"/>
  <w15:chartTrackingRefBased/>
  <w15:docId w15:val="{E7EEDE77-0D49-4407-AE27-E8830AA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7F542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542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F542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F542A"/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236A3A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Ferrington</dc:creator>
  <cp:keywords/>
  <dc:description/>
  <cp:lastModifiedBy>Linda Ferrington</cp:lastModifiedBy>
  <cp:revision>3</cp:revision>
  <dcterms:created xsi:type="dcterms:W3CDTF">2021-05-16T07:40:00Z</dcterms:created>
  <dcterms:modified xsi:type="dcterms:W3CDTF">2022-11-17T10:44:00Z</dcterms:modified>
</cp:coreProperties>
</file>